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10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8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рассмотрев в открытом судебном заседании дело об административном правонарушении №5-677-2802/2026, возбужденное по ч.24 ст.19.5 КоАП РФ в отношении </w:t>
      </w:r>
      <w:r>
        <w:rPr>
          <w:rStyle w:val="cat-UserDefinedgrp-23rplc-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юридический адрес: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22rplc-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расположенное по адресу </w:t>
      </w:r>
      <w:r>
        <w:rPr>
          <w:rStyle w:val="cat-Addressgrp-4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осуществляя деятельность по уловлению многоквартирными жилыми домами на основании лицензии №086000365 от </w:t>
      </w:r>
      <w:r>
        <w:rPr>
          <w:rStyle w:val="cat-Dategrp-11rplc-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номер лицензии по ЕРУЛ Л045-01330-86/00599896 от </w:t>
      </w:r>
      <w:r>
        <w:rPr>
          <w:rStyle w:val="cat-Dategrp-12rplc-1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сведения по которым в соответствии со ст.195 ЖК РФ занесены в Реестр лицензий ХМАО – </w:t>
      </w:r>
      <w:r>
        <w:rPr>
          <w:rStyle w:val="cat-Addressgrp-5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являясь лицом, ответственным за содержание и ремонт общего имущества многоквартирного дома №111 по </w:t>
      </w:r>
      <w:r>
        <w:rPr>
          <w:rStyle w:val="cat-Addressgrp-3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1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Dategrp-13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21rplc-1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совершило правонарушение, выразившееся в неисполнении в установленный срок до </w:t>
      </w:r>
      <w:r>
        <w:rPr>
          <w:rStyle w:val="cat-Dategrp-14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предписания №12-54/ЛК-2026 от </w:t>
      </w:r>
      <w:r>
        <w:rPr>
          <w:rStyle w:val="cat-Dategrp-15rplc-1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представитель </w:t>
      </w:r>
      <w:r>
        <w:rPr>
          <w:rStyle w:val="cat-UserDefinedgrp-23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приобщил копию договора с подрядчиком, указал, что считали, что успеют устранить нарушений, но из-за санкций запасные части быстро не купить, с ходатайством о предоставлении отсрочки исполнения предписания не обращались.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по ч.24 ст.19.5 КоАП РФ подлежат лица, за </w:t>
      </w:r>
      <w:r>
        <w:rPr>
          <w:rFonts w:ascii="Times New Roman" w:eastAsia="Times New Roman" w:hAnsi="Times New Roman" w:cs="Times New Roman"/>
          <w:sz w:val="28"/>
          <w:szCs w:val="28"/>
        </w:rPr>
        <w:t>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 за исключением случаев,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0448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частью 24.1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настоящей статьи.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ходе проверки сотрудником </w:t>
      </w:r>
      <w:r>
        <w:rPr>
          <w:rFonts w:ascii="Times New Roman" w:eastAsia="Times New Roman" w:hAnsi="Times New Roman" w:cs="Times New Roman"/>
          <w:sz w:val="28"/>
          <w:szCs w:val="28"/>
        </w:rPr>
        <w:t>Жилстройнадзора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адрес </w:t>
      </w:r>
      <w:r>
        <w:rPr>
          <w:rStyle w:val="cat-UserDefinedgrp-23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вынесено предписание №</w:t>
      </w:r>
      <w:r>
        <w:rPr>
          <w:rFonts w:ascii="Times New Roman" w:eastAsia="Times New Roman" w:hAnsi="Times New Roman" w:cs="Times New Roman"/>
          <w:sz w:val="28"/>
          <w:szCs w:val="28"/>
        </w:rPr>
        <w:t>12-54/ЛК-2026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5rplc-2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устранении в срок до </w:t>
      </w:r>
      <w:r>
        <w:rPr>
          <w:rStyle w:val="cat-Dategrp-14rplc-2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требований, лифт находился в неработоспособном состоянии в жилом доме, расположенном по адресу: </w:t>
      </w:r>
      <w:r>
        <w:rPr>
          <w:rStyle w:val="cat-Addressgrp-6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16rplc-2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была проведена проверка по исполнению предписания.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проверки установлено, что требования предписания не выполнены, что зафиксировано в акте проверки от </w:t>
      </w:r>
      <w:r>
        <w:rPr>
          <w:rStyle w:val="cat-Dategrp-16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Законность предписания заключается в том, оно выдано тем органом (должностным лицом), в компетенцию которого входит осуществление функции, по государственному региональному контролю (надзору) в сфере жилищно-коммунального хозяйства, строительства, градостроительной деятельности, энергосбережения.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Согласно п.6.15.4 </w:t>
      </w:r>
      <w:hyperlink r:id="rId5" w:history="1"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Положения о Службе жилищного контроля и строительного надзора </w:t>
        </w:r>
        <w:r>
          <w:rPr>
            <w:rStyle w:val="cat-Addressgrp-7rplc-25"/>
            <w:b w:val="0"/>
            <w:bCs w:val="0"/>
            <w:i w:val="0"/>
            <w:color w:val="0000EE"/>
            <w:sz w:val="28"/>
            <w:szCs w:val="28"/>
          </w:rPr>
          <w:t>адрес</w:t>
        </w:r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 - </w:t>
        </w:r>
        <w:r>
          <w:rPr>
            <w:rStyle w:val="cat-Addressgrp-5rplc-26"/>
            <w:b w:val="0"/>
            <w:bCs w:val="0"/>
            <w:i w:val="0"/>
            <w:color w:val="0000EE"/>
            <w:sz w:val="28"/>
            <w:szCs w:val="28"/>
          </w:rPr>
          <w:t>адрес</w:t>
        </w:r>
      </w:hyperlink>
      <w:r>
        <w:rPr>
          <w:b w:val="0"/>
          <w:bCs w:val="0"/>
          <w:i w:val="0"/>
          <w:sz w:val="28"/>
          <w:szCs w:val="28"/>
        </w:rPr>
        <w:t xml:space="preserve">, утвержденного </w:t>
      </w:r>
      <w:hyperlink r:id="rId6" w:history="1"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Постановлением Губернатора </w:t>
        </w:r>
        <w:r>
          <w:rPr>
            <w:rStyle w:val="cat-Addressgrp-8rplc-27"/>
            <w:b w:val="0"/>
            <w:bCs w:val="0"/>
            <w:i w:val="0"/>
            <w:color w:val="0000EE"/>
            <w:sz w:val="28"/>
            <w:szCs w:val="28"/>
          </w:rPr>
          <w:t>адрес</w:t>
        </w:r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 - </w:t>
        </w:r>
        <w:r>
          <w:rPr>
            <w:rStyle w:val="cat-Addressgrp-5rplc-28"/>
            <w:b w:val="0"/>
            <w:bCs w:val="0"/>
            <w:i w:val="0"/>
            <w:color w:val="0000EE"/>
            <w:sz w:val="28"/>
            <w:szCs w:val="28"/>
          </w:rPr>
          <w:t>адрес</w:t>
        </w:r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 от </w:t>
        </w:r>
        <w:r>
          <w:rPr>
            <w:rStyle w:val="cat-Dategrp-17rplc-29"/>
            <w:b w:val="0"/>
            <w:bCs w:val="0"/>
            <w:i w:val="0"/>
            <w:color w:val="0000EE"/>
            <w:sz w:val="28"/>
            <w:szCs w:val="28"/>
          </w:rPr>
          <w:t>дата</w:t>
        </w:r>
        <w:r>
          <w:rPr>
            <w:b w:val="0"/>
            <w:bCs w:val="0"/>
            <w:i w:val="0"/>
            <w:color w:val="0000EE"/>
            <w:sz w:val="28"/>
            <w:szCs w:val="28"/>
          </w:rPr>
          <w:t xml:space="preserve"> N 186,</w:t>
        </w:r>
      </w:hyperlink>
      <w:r>
        <w:rPr>
          <w:b w:val="0"/>
          <w:bCs w:val="0"/>
          <w:i w:val="0"/>
          <w:sz w:val="28"/>
          <w:szCs w:val="28"/>
        </w:rPr>
        <w:t xml:space="preserve"> Служба выдает предписания на устранение выявленных нарушений в установленной сфере деятельности.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Служба жилищного контроля и строительного надзора </w:t>
      </w:r>
      <w:r>
        <w:rPr>
          <w:rStyle w:val="cat-Addressgrp-7rplc-3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3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Жилстройнадзор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5rplc-3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является исполнительным органом государственной власти </w:t>
      </w:r>
      <w:r>
        <w:rPr>
          <w:rStyle w:val="cat-Addressgrp-7rplc-3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осуществляющим функции по государственному региональному контролю (надзору) в сфере жилищно-коммунального хозяйства, строительства, градостроительной деятельности, энергосбережения.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вышеизложенного следует, что при выдаче данного предписания сотрудник отдела инспектирования руководствовался требованиями закона и иных нормативных правовых актов, его действия предусмотрены законом и не выходят за рамки его компетенции.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Жилстройнадзора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являются обоснованными.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 того, законность предписания предполагает, что предписание было выдано в установленном законом порядке, не ущемляющем права поднадзорных субъектов.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Предписание от </w:t>
      </w:r>
      <w:r>
        <w:rPr>
          <w:rStyle w:val="cat-Dategrp-15rplc-3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3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законом порядке не обжаловалось, а, следовательно, законность указанного предписания не оспаривалась.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Мировым судьей при рассмотрении дела не установлено нарушений при вынесении указанного предписания.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3rplc-3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инкриминируемого правонарушения подтверждается исследованными судом доказательствами: протоколом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решением о проведении проверки, 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предписания,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постановления, копией лицензии, выпиской из ЕГРЮЛ.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лицо может быть освобождено от наказания, если представит доказательства, что им были приняты все меры для соблюдения правил и норм, за нарушение которых установлена ответственность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Объективных доказательств, подтверждающих, что после получения предписания юридическим лицом предпринимались в соответствии с законодательством все необходимые меры для надлежащего исполнения предписания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юридическое лицо было лишено всякой возможности выполнить необходимые действия по выполнению предписания</w:t>
      </w:r>
      <w:r>
        <w:rPr>
          <w:rFonts w:ascii="Times New Roman" w:eastAsia="Times New Roman" w:hAnsi="Times New Roman" w:cs="Times New Roman"/>
          <w:sz w:val="28"/>
          <w:szCs w:val="28"/>
        </w:rPr>
        <w:t>, суду не представлено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Предписание обязательно для исполнения всеми должностными лицами, гражданами, юридическими лицами независимо от их организационно-правовой формы.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Доводы,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представителя юр.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могут быть состязательными и не освобождают от административной ответственности.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мировой судья квалифицирует по ч.24 ст.19.5.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обстоятельством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>ягчающих административную отнесенность обстоятельств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 и его последствия; финансовое положение 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Roboto" w:eastAsia="Roboto" w:hAnsi="Roboto" w:cs="Roboto"/>
          <w:sz w:val="28"/>
          <w:szCs w:val="28"/>
        </w:rPr>
        <w:t xml:space="preserve">Оценивая характер и степень общественной опасности допущенного правонарушения, конкретные обстоятельства его совершения, оснований для признания его малозначительным мировой судья не усматривает. Невыполнение требований пожарной безопасности создает угрозу жизни и здоровью граждан, может повлечь за собой тяжкие последствия, поэтому предписание федерального государственного органа надзора подлежит обязательному исполнению в установленный срок, за его невыполнение предусмотрена строгая административная ответственность, а отсутствие вредных последствий не свидетельствует о </w:t>
      </w:r>
      <w:r>
        <w:rPr>
          <w:rFonts w:ascii="Roboto" w:eastAsia="Roboto" w:hAnsi="Roboto" w:cs="Roboto"/>
          <w:i/>
          <w:iCs/>
          <w:sz w:val="28"/>
          <w:szCs w:val="28"/>
        </w:rPr>
        <w:t>малозначительности</w:t>
      </w:r>
      <w:r>
        <w:rPr>
          <w:rFonts w:ascii="Roboto" w:eastAsia="Roboto" w:hAnsi="Roboto" w:cs="Roboto"/>
          <w:sz w:val="28"/>
          <w:szCs w:val="28"/>
        </w:rPr>
        <w:t xml:space="preserve"> совершенного </w:t>
      </w:r>
      <w:r>
        <w:rPr>
          <w:rFonts w:ascii="Roboto" w:eastAsia="Roboto" w:hAnsi="Roboto" w:cs="Roboto"/>
          <w:sz w:val="28"/>
          <w:szCs w:val="28"/>
        </w:rPr>
        <w:t>правонарушения</w:t>
      </w:r>
      <w:r>
        <w:rPr>
          <w:rFonts w:ascii="Roboto" w:eastAsia="Roboto" w:hAnsi="Roboto" w:cs="Roboto"/>
          <w:sz w:val="28"/>
          <w:szCs w:val="28"/>
        </w:rPr>
        <w:t xml:space="preserve">. Предусмотренное </w:t>
      </w:r>
      <w:hyperlink r:id="rId7" w:anchor="/document/12125267/entry/19512" w:history="1">
        <w:r>
          <w:rPr>
            <w:rFonts w:ascii="Roboto" w:eastAsia="Roboto" w:hAnsi="Roboto" w:cs="Roboto"/>
            <w:color w:val="0000EE"/>
            <w:sz w:val="28"/>
            <w:szCs w:val="28"/>
            <w:u w:val="single" w:color="0000EE"/>
          </w:rPr>
          <w:t>ч</w:t>
        </w:r>
        <w:r>
          <w:rPr>
            <w:rFonts w:ascii="Roboto" w:eastAsia="Roboto" w:hAnsi="Roboto" w:cs="Roboto"/>
            <w:i/>
            <w:iCs/>
            <w:color w:val="0000EE"/>
            <w:sz w:val="28"/>
            <w:szCs w:val="28"/>
            <w:u w:val="single" w:color="0000EE"/>
          </w:rPr>
          <w:t xml:space="preserve">. </w:t>
        </w:r>
        <w:r>
          <w:rPr>
            <w:rFonts w:ascii="Roboto" w:eastAsia="Roboto" w:hAnsi="Roboto" w:cs="Roboto"/>
            <w:color w:val="0000EE"/>
            <w:sz w:val="28"/>
            <w:szCs w:val="28"/>
            <w:u w:val="single" w:color="0000EE"/>
          </w:rPr>
          <w:t>13</w:t>
        </w:r>
        <w:r>
          <w:rPr>
            <w:rFonts w:ascii="Roboto" w:eastAsia="Roboto" w:hAnsi="Roboto" w:cs="Roboto"/>
            <w:i/>
            <w:iCs/>
            <w:color w:val="0000EE"/>
            <w:sz w:val="28"/>
            <w:szCs w:val="28"/>
            <w:u w:val="single" w:color="0000EE"/>
          </w:rPr>
          <w:t xml:space="preserve"> </w:t>
        </w:r>
        <w:r>
          <w:rPr>
            <w:rFonts w:ascii="Roboto" w:eastAsia="Roboto" w:hAnsi="Roboto" w:cs="Roboto"/>
            <w:color w:val="0000EE"/>
            <w:sz w:val="28"/>
            <w:szCs w:val="28"/>
            <w:u w:val="single" w:color="0000EE"/>
          </w:rPr>
          <w:t>ст</w:t>
        </w:r>
        <w:r>
          <w:rPr>
            <w:rFonts w:ascii="Roboto" w:eastAsia="Roboto" w:hAnsi="Roboto" w:cs="Roboto"/>
            <w:i/>
            <w:iCs/>
            <w:color w:val="0000EE"/>
            <w:sz w:val="28"/>
            <w:szCs w:val="28"/>
            <w:u w:val="single" w:color="0000EE"/>
          </w:rPr>
          <w:t xml:space="preserve">. </w:t>
        </w:r>
        <w:r>
          <w:rPr>
            <w:rFonts w:ascii="Roboto" w:eastAsia="Roboto" w:hAnsi="Roboto" w:cs="Roboto"/>
            <w:color w:val="0000EE"/>
            <w:sz w:val="28"/>
            <w:szCs w:val="28"/>
            <w:u w:val="single" w:color="0000EE"/>
          </w:rPr>
          <w:t>19</w:t>
        </w:r>
        <w:r>
          <w:rPr>
            <w:rFonts w:ascii="Roboto" w:eastAsia="Roboto" w:hAnsi="Roboto" w:cs="Roboto"/>
            <w:i/>
            <w:iCs/>
            <w:color w:val="0000EE"/>
            <w:sz w:val="28"/>
            <w:szCs w:val="28"/>
            <w:u w:val="single" w:color="0000EE"/>
          </w:rPr>
          <w:t>.</w:t>
        </w:r>
        <w:r>
          <w:rPr>
            <w:rFonts w:ascii="Roboto" w:eastAsia="Roboto" w:hAnsi="Roboto" w:cs="Roboto"/>
            <w:color w:val="0000EE"/>
            <w:sz w:val="28"/>
            <w:szCs w:val="28"/>
            <w:u w:val="single" w:color="0000EE"/>
          </w:rPr>
          <w:t>5</w:t>
        </w:r>
      </w:hyperlink>
      <w:r>
        <w:rPr>
          <w:rFonts w:ascii="Roboto" w:eastAsia="Roboto" w:hAnsi="Roboto" w:cs="Roboto"/>
          <w:i/>
          <w:iCs/>
          <w:sz w:val="28"/>
          <w:szCs w:val="28"/>
        </w:rPr>
        <w:t xml:space="preserve"> </w:t>
      </w:r>
      <w:r>
        <w:rPr>
          <w:rFonts w:ascii="Roboto" w:eastAsia="Roboto" w:hAnsi="Roboto" w:cs="Roboto"/>
          <w:i/>
          <w:iCs/>
          <w:sz w:val="28"/>
          <w:szCs w:val="28"/>
        </w:rPr>
        <w:t>КоАП</w:t>
      </w:r>
      <w:r>
        <w:rPr>
          <w:rFonts w:ascii="Roboto" w:eastAsia="Roboto" w:hAnsi="Roboto" w:cs="Roboto"/>
          <w:sz w:val="28"/>
          <w:szCs w:val="28"/>
        </w:rPr>
        <w:t xml:space="preserve"> РФ правонарушение носит формальный характер и направлено на предотвращение возможных последствий.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ч.1 ст.4.1.1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8" w:anchor="dst10017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раздела II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9" w:anchor="dst217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частью 2 статьи 3.4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Кодекса, за исключением случаев,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0" w:anchor="dst72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частью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настоящей статьи.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ч.2 ст. 4.1.1 КоАП РФ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1" w:anchor="dst165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статьями13.15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2" w:anchor="dst777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13.37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3" w:anchor="dst338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14.31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4" w:anchor="dst97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14.33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5" w:anchor="dst952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14.56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6" w:anchor="dst25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15.21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7" w:anchor="dst981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15.27.3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8" w:anchor="dst251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15.30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9" w:anchor="dst738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0" w:anchor="dst1084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19.4.3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1" w:anchor="dst526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2" w:anchor="dst521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19.5.1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3" w:anchor="dst10162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4" w:anchor="dst10312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5" w:anchor="dst34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19.8.2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6" w:anchor="dst10168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19.23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7" w:anchor="dst492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частями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7" w:anchor="dst421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3 статьи 19.27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8" w:anchor="dst26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статьями 19.28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29" w:anchor="dst308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19.29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30" w:anchor="dst144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19.30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31" w:anchor="dst297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19.33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32" w:anchor="dst38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19.34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33" w:anchor="dst6119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20.3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34" w:anchor="dst38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частью 2 статьи 20.28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ст.ст.4.1, 29.7,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3rplc-3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ч.24 ст.19.5 КоАП РФ, и назначить наказание в виде административного штрафа в размере </w:t>
      </w:r>
      <w:r>
        <w:rPr>
          <w:rStyle w:val="cat-Sumgrp-20rplc-3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35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35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3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Style w:val="cat-UserDefinedgrp-24rplc-40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Style w:val="cat-FIOgrp-19rplc-4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Style w:val="cat-FIOgrp-19rplc-4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10rplc-1">
    <w:name w:val="cat-Date grp-1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8rplc-3">
    <w:name w:val="cat-FIO grp-18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PhoneNumbergrp-22rplc-6">
    <w:name w:val="cat-PhoneNumber grp-22 rplc-6"/>
    <w:basedOn w:val="DefaultParagraphFont"/>
  </w:style>
  <w:style w:type="character" w:customStyle="1" w:styleId="cat-UserDefinedgrp-23rplc-7">
    <w:name w:val="cat-UserDefined grp-23 rplc-7"/>
    <w:basedOn w:val="DefaultParagraphFont"/>
  </w:style>
  <w:style w:type="character" w:customStyle="1" w:styleId="cat-Addressgrp-4rplc-8">
    <w:name w:val="cat-Address grp-4 rplc-8"/>
    <w:basedOn w:val="DefaultParagraphFont"/>
  </w:style>
  <w:style w:type="character" w:customStyle="1" w:styleId="cat-Dategrp-11rplc-9">
    <w:name w:val="cat-Date grp-11 rplc-9"/>
    <w:basedOn w:val="DefaultParagraphFont"/>
  </w:style>
  <w:style w:type="character" w:customStyle="1" w:styleId="cat-Dategrp-12rplc-10">
    <w:name w:val="cat-Date grp-12 rplc-10"/>
    <w:basedOn w:val="DefaultParagraphFont"/>
  </w:style>
  <w:style w:type="character" w:customStyle="1" w:styleId="cat-Addressgrp-5rplc-11">
    <w:name w:val="cat-Address grp-5 rplc-11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Addressgrp-0rplc-13">
    <w:name w:val="cat-Address grp-0 rplc-13"/>
    <w:basedOn w:val="DefaultParagraphFont"/>
  </w:style>
  <w:style w:type="character" w:customStyle="1" w:styleId="cat-Dategrp-13rplc-14">
    <w:name w:val="cat-Date grp-13 rplc-14"/>
    <w:basedOn w:val="DefaultParagraphFont"/>
  </w:style>
  <w:style w:type="character" w:customStyle="1" w:styleId="cat-Timegrp-21rplc-15">
    <w:name w:val="cat-Time grp-21 rplc-15"/>
    <w:basedOn w:val="DefaultParagraphFont"/>
  </w:style>
  <w:style w:type="character" w:customStyle="1" w:styleId="cat-Dategrp-14rplc-16">
    <w:name w:val="cat-Date grp-14 rplc-16"/>
    <w:basedOn w:val="DefaultParagraphFont"/>
  </w:style>
  <w:style w:type="character" w:customStyle="1" w:styleId="cat-Dategrp-15rplc-17">
    <w:name w:val="cat-Date grp-15 rplc-17"/>
    <w:basedOn w:val="DefaultParagraphFont"/>
  </w:style>
  <w:style w:type="character" w:customStyle="1" w:styleId="cat-UserDefinedgrp-23rplc-18">
    <w:name w:val="cat-UserDefined grp-23 rplc-18"/>
    <w:basedOn w:val="DefaultParagraphFont"/>
  </w:style>
  <w:style w:type="character" w:customStyle="1" w:styleId="cat-UserDefinedgrp-23rplc-19">
    <w:name w:val="cat-UserDefined grp-23 rplc-19"/>
    <w:basedOn w:val="DefaultParagraphFont"/>
  </w:style>
  <w:style w:type="character" w:customStyle="1" w:styleId="cat-Dategrp-15rplc-20">
    <w:name w:val="cat-Date grp-15 rplc-20"/>
    <w:basedOn w:val="DefaultParagraphFont"/>
  </w:style>
  <w:style w:type="character" w:customStyle="1" w:styleId="cat-Dategrp-14rplc-21">
    <w:name w:val="cat-Date grp-14 rplc-21"/>
    <w:basedOn w:val="DefaultParagraphFont"/>
  </w:style>
  <w:style w:type="character" w:customStyle="1" w:styleId="cat-Addressgrp-6rplc-22">
    <w:name w:val="cat-Address grp-6 rplc-22"/>
    <w:basedOn w:val="DefaultParagraphFont"/>
  </w:style>
  <w:style w:type="character" w:customStyle="1" w:styleId="cat-Dategrp-16rplc-23">
    <w:name w:val="cat-Date grp-16 rplc-23"/>
    <w:basedOn w:val="DefaultParagraphFont"/>
  </w:style>
  <w:style w:type="character" w:customStyle="1" w:styleId="cat-Dategrp-16rplc-24">
    <w:name w:val="cat-Date grp-16 rplc-24"/>
    <w:basedOn w:val="DefaultParagraphFont"/>
  </w:style>
  <w:style w:type="character" w:customStyle="1" w:styleId="cat-Addressgrp-7rplc-25">
    <w:name w:val="cat-Address grp-7 rplc-25"/>
    <w:basedOn w:val="DefaultParagraphFont"/>
  </w:style>
  <w:style w:type="character" w:customStyle="1" w:styleId="cat-Addressgrp-5rplc-26">
    <w:name w:val="cat-Address grp-5 rplc-26"/>
    <w:basedOn w:val="DefaultParagraphFont"/>
  </w:style>
  <w:style w:type="character" w:customStyle="1" w:styleId="cat-Addressgrp-8rplc-27">
    <w:name w:val="cat-Address grp-8 rplc-27"/>
    <w:basedOn w:val="DefaultParagraphFont"/>
  </w:style>
  <w:style w:type="character" w:customStyle="1" w:styleId="cat-Addressgrp-5rplc-28">
    <w:name w:val="cat-Address grp-5 rplc-28"/>
    <w:basedOn w:val="DefaultParagraphFont"/>
  </w:style>
  <w:style w:type="character" w:customStyle="1" w:styleId="cat-Dategrp-17rplc-29">
    <w:name w:val="cat-Date grp-17 rplc-29"/>
    <w:basedOn w:val="DefaultParagraphFont"/>
  </w:style>
  <w:style w:type="character" w:customStyle="1" w:styleId="cat-Addressgrp-7rplc-30">
    <w:name w:val="cat-Address grp-7 rplc-30"/>
    <w:basedOn w:val="DefaultParagraphFont"/>
  </w:style>
  <w:style w:type="character" w:customStyle="1" w:styleId="cat-Addressgrp-5rplc-31">
    <w:name w:val="cat-Address grp-5 rplc-31"/>
    <w:basedOn w:val="DefaultParagraphFont"/>
  </w:style>
  <w:style w:type="character" w:customStyle="1" w:styleId="cat-Addressgrp-5rplc-32">
    <w:name w:val="cat-Address grp-5 rplc-32"/>
    <w:basedOn w:val="DefaultParagraphFont"/>
  </w:style>
  <w:style w:type="character" w:customStyle="1" w:styleId="cat-Addressgrp-7rplc-33">
    <w:name w:val="cat-Address grp-7 rplc-33"/>
    <w:basedOn w:val="DefaultParagraphFont"/>
  </w:style>
  <w:style w:type="character" w:customStyle="1" w:styleId="cat-Addressgrp-5rplc-34">
    <w:name w:val="cat-Address grp-5 rplc-34"/>
    <w:basedOn w:val="DefaultParagraphFont"/>
  </w:style>
  <w:style w:type="character" w:customStyle="1" w:styleId="cat-Dategrp-15rplc-35">
    <w:name w:val="cat-Date grp-15 rplc-35"/>
    <w:basedOn w:val="DefaultParagraphFont"/>
  </w:style>
  <w:style w:type="character" w:customStyle="1" w:styleId="cat-UserDefinedgrp-23rplc-36">
    <w:name w:val="cat-UserDefined grp-23 rplc-36"/>
    <w:basedOn w:val="DefaultParagraphFont"/>
  </w:style>
  <w:style w:type="character" w:customStyle="1" w:styleId="cat-UserDefinedgrp-23rplc-37">
    <w:name w:val="cat-UserDefined grp-23 rplc-37"/>
    <w:basedOn w:val="DefaultParagraphFont"/>
  </w:style>
  <w:style w:type="character" w:customStyle="1" w:styleId="cat-UserDefinedgrp-23rplc-38">
    <w:name w:val="cat-UserDefined grp-23 rplc-38"/>
    <w:basedOn w:val="DefaultParagraphFont"/>
  </w:style>
  <w:style w:type="character" w:customStyle="1" w:styleId="cat-Sumgrp-20rplc-39">
    <w:name w:val="cat-Sum grp-20 rplc-39"/>
    <w:basedOn w:val="DefaultParagraphFont"/>
  </w:style>
  <w:style w:type="character" w:customStyle="1" w:styleId="cat-UserDefinedgrp-24rplc-40">
    <w:name w:val="cat-UserDefined grp-24 rplc-40"/>
    <w:basedOn w:val="DefaultParagraphFont"/>
  </w:style>
  <w:style w:type="character" w:customStyle="1" w:styleId="cat-FIOgrp-19rplc-44">
    <w:name w:val="cat-FIO grp-19 rplc-44"/>
    <w:basedOn w:val="DefaultParagraphFont"/>
  </w:style>
  <w:style w:type="character" w:customStyle="1" w:styleId="cat-FIOgrp-19rplc-45">
    <w:name w:val="cat-FIO grp-19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43766/5e8aae404b38ac1847d8e4b38a7758b4affe7d1a/" TargetMode="External" /><Relationship Id="rId11" Type="http://schemas.openxmlformats.org/officeDocument/2006/relationships/hyperlink" Target="https://www.consultant.ru/document/cons_doc_LAW_481302/82c0a663173b440cc9b027bc8e687dc9e36e71ad/" TargetMode="External" /><Relationship Id="rId12" Type="http://schemas.openxmlformats.org/officeDocument/2006/relationships/hyperlink" Target="https://www.consultant.ru/document/cons_doc_LAW_481302/82cbb51b6076f62dc03191dafccdadcc479a6222/" TargetMode="External" /><Relationship Id="rId13" Type="http://schemas.openxmlformats.org/officeDocument/2006/relationships/hyperlink" Target="https://www.consultant.ru/document/cons_doc_LAW_481302/c5271b02d1c5c33ab86d5671862b0cf8a49cbfba/" TargetMode="External" /><Relationship Id="rId14" Type="http://schemas.openxmlformats.org/officeDocument/2006/relationships/hyperlink" Target="https://www.consultant.ru/document/cons_doc_LAW_481302/d62e8fe6e7ccc035c7ef846b7068f43f9182d5d7/" TargetMode="External" /><Relationship Id="rId15" Type="http://schemas.openxmlformats.org/officeDocument/2006/relationships/hyperlink" Target="https://www.consultant.ru/document/cons_doc_LAW_481302/38a31b3c7d7155eb805c2f22d32527453f310b23/" TargetMode="External" /><Relationship Id="rId16" Type="http://schemas.openxmlformats.org/officeDocument/2006/relationships/hyperlink" Target="https://www.consultant.ru/document/cons_doc_LAW_481302/fea798bdaa97f0daa0a79fba49e5a48754cdfbb4/" TargetMode="External" /><Relationship Id="rId17" Type="http://schemas.openxmlformats.org/officeDocument/2006/relationships/hyperlink" Target="https://www.consultant.ru/document/cons_doc_LAW_481302/ce73e2a237f2a7e939ff0c3ed4fc233839d10796/" TargetMode="External" /><Relationship Id="rId18" Type="http://schemas.openxmlformats.org/officeDocument/2006/relationships/hyperlink" Target="https://www.consultant.ru/document/cons_doc_LAW_481302/ac32cb182104127fdf874ef2d66f052a31289f3a/" TargetMode="External" /><Relationship Id="rId19" Type="http://schemas.openxmlformats.org/officeDocument/2006/relationships/hyperlink" Target="https://www.consultant.ru/document/cons_doc_LAW_481302/616c3e1ac3523ad0b345b51f7c9e3131c936fd3c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1302/bc40dabf906b361971767c78d80d0d0f36b69f39/" TargetMode="External" /><Relationship Id="rId21" Type="http://schemas.openxmlformats.org/officeDocument/2006/relationships/hyperlink" Target="https://www.consultant.ru/document/cons_doc_LAW_481302/c9540220757eaa24167e7288784ad40b4c8de5db/" TargetMode="External" /><Relationship Id="rId22" Type="http://schemas.openxmlformats.org/officeDocument/2006/relationships/hyperlink" Target="https://www.consultant.ru/document/cons_doc_LAW_481302/19d844cb0595285f4aee08c1274a7740377460ea/" TargetMode="External" /><Relationship Id="rId23" Type="http://schemas.openxmlformats.org/officeDocument/2006/relationships/hyperlink" Target="https://www.consultant.ru/document/cons_doc_LAW_481302/b641fe9ae22d93523770d3814b8dd06694435584/" TargetMode="External" /><Relationship Id="rId24" Type="http://schemas.openxmlformats.org/officeDocument/2006/relationships/hyperlink" Target="https://www.consultant.ru/document/cons_doc_LAW_481302/8298490c4b0419a8f696301e5547c140ad88dd0a/" TargetMode="External" /><Relationship Id="rId25" Type="http://schemas.openxmlformats.org/officeDocument/2006/relationships/hyperlink" Target="https://www.consultant.ru/document/cons_doc_LAW_481302/f6d61ed75908718e34a23121a8245426b1517e07/" TargetMode="External" /><Relationship Id="rId26" Type="http://schemas.openxmlformats.org/officeDocument/2006/relationships/hyperlink" Target="https://www.consultant.ru/document/cons_doc_LAW_481302/59ce7f424f1ff3101021c7a1e0ea10cf61853f8a/" TargetMode="External" /><Relationship Id="rId27" Type="http://schemas.openxmlformats.org/officeDocument/2006/relationships/hyperlink" Target="https://www.consultant.ru/document/cons_doc_LAW_481302/52206edebb294afcfe066d6dd9a22b573ca043d0/" TargetMode="External" /><Relationship Id="rId28" Type="http://schemas.openxmlformats.org/officeDocument/2006/relationships/hyperlink" Target="https://www.consultant.ru/document/cons_doc_LAW_481302/f61ff313afecf81a91a43d729c2df55c1d6a1533/" TargetMode="External" /><Relationship Id="rId29" Type="http://schemas.openxmlformats.org/officeDocument/2006/relationships/hyperlink" Target="https://www.consultant.ru/document/cons_doc_LAW_481302/56fc8b160d7d4acf2ee8ed080d3a4632e6caeec2/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www.consultant.ru/document/cons_doc_LAW_481302/aee74bbc5788c870934df93264b729a07d873f3d/" TargetMode="External" /><Relationship Id="rId31" Type="http://schemas.openxmlformats.org/officeDocument/2006/relationships/hyperlink" Target="https://www.consultant.ru/document/cons_doc_LAW_481302/8a62c30736a9af00c7f26ce2e74aaaeca1996ea9/" TargetMode="External" /><Relationship Id="rId32" Type="http://schemas.openxmlformats.org/officeDocument/2006/relationships/hyperlink" Target="https://www.consultant.ru/document/cons_doc_LAW_481302/1216f68ce6aaa76e9eddfeef6e07f3a5b8785f2a/" TargetMode="External" /><Relationship Id="rId33" Type="http://schemas.openxmlformats.org/officeDocument/2006/relationships/hyperlink" Target="https://www.consultant.ru/document/cons_doc_LAW_481302/e3620d183bd6d1fe2ab8b0c912809857217325a2/" TargetMode="External" /><Relationship Id="rId34" Type="http://schemas.openxmlformats.org/officeDocument/2006/relationships/hyperlink" Target="https://www.consultant.ru/document/cons_doc_LAW_481302/3262fd14537fe74196521d1f5da6bc9ae5508786/" TargetMode="External" /><Relationship Id="rId35" Type="http://schemas.openxmlformats.org/officeDocument/2006/relationships/hyperlink" Target="file:///\\xmn.local\dfs\justice\judge_3\&#1040;&#1044;&#1052;&#1048;&#1053;&#1048;&#1057;&#1058;&#1056;&#1040;&#1058;&#1048;&#1042;&#1050;&#1040;\23.08.2013\4788%20&#1074;&#1077;&#1085;&#1075;&#1086;%2020.25.doc" TargetMode="External" /><Relationship Id="rId36" Type="http://schemas.openxmlformats.org/officeDocument/2006/relationships/hyperlink" Target="garantF1://12056199.3" TargetMode="External" /><Relationship Id="rId37" Type="http://schemas.openxmlformats.org/officeDocument/2006/relationships/styles" Target="styles.xml" /><Relationship Id="rId4" Type="http://schemas.openxmlformats.org/officeDocument/2006/relationships/hyperlink" Target="https://www.consultant.ru/document/cons_doc_LAW_517484/c9540220757eaa24167e7288784ad40b4c8de5db/" TargetMode="External" /><Relationship Id="rId5" Type="http://schemas.openxmlformats.org/officeDocument/2006/relationships/hyperlink" Target="garantF1://18829451.1000" TargetMode="External" /><Relationship Id="rId6" Type="http://schemas.openxmlformats.org/officeDocument/2006/relationships/hyperlink" Target="garantF1://18829451.0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www.consultant.ru/document/cons_doc_LAW_443766/af22f6ab34d6816e5a70f14347081e2c1bfce662/" TargetMode="External" /><Relationship Id="rId9" Type="http://schemas.openxmlformats.org/officeDocument/2006/relationships/hyperlink" Target="https://www.consultant.ru/document/cons_doc_LAW_443766/080d25276289006c381505fe470f240608f4ad77/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